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507" w:type="dxa"/>
        <w:tblLook w:val="04A0"/>
      </w:tblPr>
      <w:tblGrid>
        <w:gridCol w:w="864"/>
        <w:gridCol w:w="1020"/>
        <w:gridCol w:w="520"/>
        <w:gridCol w:w="520"/>
        <w:gridCol w:w="520"/>
        <w:gridCol w:w="520"/>
        <w:gridCol w:w="520"/>
        <w:gridCol w:w="520"/>
        <w:gridCol w:w="520"/>
        <w:gridCol w:w="607"/>
        <w:gridCol w:w="550"/>
        <w:gridCol w:w="550"/>
        <w:gridCol w:w="520"/>
        <w:gridCol w:w="520"/>
        <w:gridCol w:w="520"/>
        <w:gridCol w:w="520"/>
        <w:gridCol w:w="607"/>
        <w:gridCol w:w="607"/>
      </w:tblGrid>
      <w:tr w:rsidR="00431460" w:rsidRPr="004A5197" w:rsidTr="006A3BDE">
        <w:trPr>
          <w:trHeight w:val="288"/>
        </w:trPr>
        <w:tc>
          <w:tcPr>
            <w:tcW w:w="1884" w:type="dxa"/>
            <w:gridSpan w:val="2"/>
            <w:noWrap/>
            <w:hideMark/>
          </w:tcPr>
          <w:p w:rsidR="00431460" w:rsidRPr="004A5197" w:rsidRDefault="00431460"/>
        </w:tc>
        <w:tc>
          <w:tcPr>
            <w:tcW w:w="4247" w:type="dxa"/>
            <w:gridSpan w:val="8"/>
            <w:noWrap/>
            <w:hideMark/>
          </w:tcPr>
          <w:p w:rsidR="00431460" w:rsidRPr="004A5197" w:rsidRDefault="00431460">
            <w:r w:rsidRPr="004A5197">
              <w:t>Round</w:t>
            </w:r>
          </w:p>
        </w:tc>
        <w:tc>
          <w:tcPr>
            <w:tcW w:w="4394" w:type="dxa"/>
            <w:gridSpan w:val="8"/>
            <w:noWrap/>
            <w:hideMark/>
          </w:tcPr>
          <w:p w:rsidR="00431460" w:rsidRPr="004A5197" w:rsidRDefault="00431460">
            <w:r w:rsidRPr="004A5197">
              <w:t>Square</w:t>
            </w:r>
          </w:p>
        </w:tc>
      </w:tr>
      <w:tr w:rsidR="0055342B" w:rsidRPr="004A5197" w:rsidTr="006A3BDE">
        <w:trPr>
          <w:trHeight w:val="288"/>
        </w:trPr>
        <w:tc>
          <w:tcPr>
            <w:tcW w:w="1884" w:type="dxa"/>
            <w:gridSpan w:val="2"/>
            <w:shd w:val="clear" w:color="auto" w:fill="FF0000"/>
            <w:noWrap/>
            <w:hideMark/>
          </w:tcPr>
          <w:p w:rsidR="00431460" w:rsidRPr="00C84E5E" w:rsidRDefault="00431460">
            <w:pPr>
              <w:rPr>
                <w:b/>
              </w:rPr>
            </w:pPr>
            <w:r w:rsidRPr="00C84E5E">
              <w:rPr>
                <w:b/>
              </w:rPr>
              <w:t>Target Cake size :</w:t>
            </w:r>
          </w:p>
        </w:tc>
        <w:tc>
          <w:tcPr>
            <w:tcW w:w="520" w:type="dxa"/>
            <w:shd w:val="clear" w:color="auto" w:fill="FF0000"/>
            <w:noWrap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4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6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7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8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9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10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12</w:t>
            </w:r>
          </w:p>
        </w:tc>
        <w:tc>
          <w:tcPr>
            <w:tcW w:w="607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14</w:t>
            </w:r>
          </w:p>
        </w:tc>
        <w:tc>
          <w:tcPr>
            <w:tcW w:w="55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4</w:t>
            </w:r>
          </w:p>
        </w:tc>
        <w:tc>
          <w:tcPr>
            <w:tcW w:w="55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6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7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8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9</w:t>
            </w:r>
          </w:p>
        </w:tc>
        <w:tc>
          <w:tcPr>
            <w:tcW w:w="520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10</w:t>
            </w:r>
          </w:p>
        </w:tc>
        <w:tc>
          <w:tcPr>
            <w:tcW w:w="607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12</w:t>
            </w:r>
          </w:p>
        </w:tc>
        <w:tc>
          <w:tcPr>
            <w:tcW w:w="607" w:type="dxa"/>
            <w:shd w:val="clear" w:color="auto" w:fill="FF0000"/>
            <w:noWrap/>
            <w:hideMark/>
          </w:tcPr>
          <w:p w:rsidR="00431460" w:rsidRPr="00C84E5E" w:rsidRDefault="00431460" w:rsidP="00A668E9">
            <w:pPr>
              <w:jc w:val="center"/>
              <w:rPr>
                <w:b/>
              </w:rPr>
            </w:pPr>
            <w:r w:rsidRPr="00C84E5E">
              <w:rPr>
                <w:b/>
              </w:rPr>
              <w:t>14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 w:val="restart"/>
            <w:shd w:val="clear" w:color="auto" w:fill="66FF33"/>
            <w:noWrap/>
            <w:hideMark/>
          </w:tcPr>
          <w:p w:rsidR="0055342B" w:rsidRDefault="0055342B"/>
          <w:p w:rsidR="0055342B" w:rsidRDefault="0055342B"/>
          <w:p w:rsidR="0055342B" w:rsidRDefault="0055342B"/>
          <w:p w:rsidR="0055342B" w:rsidRDefault="0055342B"/>
          <w:p w:rsidR="0055342B" w:rsidRDefault="0055342B"/>
          <w:p w:rsidR="0055342B" w:rsidRDefault="0055342B"/>
          <w:p w:rsidR="0055342B" w:rsidRPr="004A5197" w:rsidRDefault="0055342B"/>
          <w:p w:rsidR="0055342B" w:rsidRDefault="0055342B" w:rsidP="00932185">
            <w:r>
              <w:t>Recipe Cake size</w:t>
            </w:r>
          </w:p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>
              <w:rPr>
                <w:b/>
              </w:rPr>
              <w:t>Round</w:t>
            </w:r>
            <w:r w:rsidRPr="00C84E5E">
              <w:rPr>
                <w:b/>
              </w:rPr>
              <w:t xml:space="preserve"> 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5.1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6.3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9.0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12.3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2.9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3.9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5.1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6.4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8.0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11.5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15.6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C84E5E">
              <w:rPr>
                <w:b/>
              </w:rPr>
              <w:t>6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2.8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4.0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5.4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1.7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2.9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3.5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5.1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6.9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84E5E">
              <w:rPr>
                <w:b/>
              </w:rPr>
              <w:t>7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1.7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2.9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4.0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0.9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1.7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2.1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2.6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3.7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5.1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8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1.6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1.6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2.0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2.9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3.9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9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1.2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2.4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1.6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10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2.0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2.5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12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0.9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1.7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 w:rsidP="00436C67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14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607" w:type="dxa"/>
            <w:shd w:val="clear" w:color="auto" w:fill="FF99FF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5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0.9</w:t>
            </w:r>
          </w:p>
        </w:tc>
        <w:tc>
          <w:tcPr>
            <w:tcW w:w="607" w:type="dxa"/>
            <w:shd w:val="clear" w:color="auto" w:fill="FFFF0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>
              <w:rPr>
                <w:b/>
              </w:rPr>
              <w:t xml:space="preserve">Square </w:t>
            </w:r>
            <w:r w:rsidRPr="00C84E5E">
              <w:rPr>
                <w:b/>
              </w:rPr>
              <w:t>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4.0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4.9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7.1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9.6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4.0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5.1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6.3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9.0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12.3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6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1.1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2.2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4.3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2.8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4.0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5.4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7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1.6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1.7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2.0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2.9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4.0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1.2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2.4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1.6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2.3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3.1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9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1.9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1.2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1.8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2.4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10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1.1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1.5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2.0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12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1.1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1.4</w:t>
            </w:r>
          </w:p>
        </w:tc>
      </w:tr>
      <w:tr w:rsidR="0055342B" w:rsidRPr="004A5197" w:rsidTr="006A3BDE">
        <w:trPr>
          <w:trHeight w:val="288"/>
        </w:trPr>
        <w:tc>
          <w:tcPr>
            <w:tcW w:w="864" w:type="dxa"/>
            <w:vMerge/>
            <w:shd w:val="clear" w:color="auto" w:fill="66FF33"/>
            <w:noWrap/>
            <w:hideMark/>
          </w:tcPr>
          <w:p w:rsidR="0055342B" w:rsidRPr="004A5197" w:rsidRDefault="0055342B"/>
        </w:tc>
        <w:tc>
          <w:tcPr>
            <w:tcW w:w="1020" w:type="dxa"/>
            <w:shd w:val="clear" w:color="auto" w:fill="66FF33"/>
            <w:noWrap/>
            <w:hideMark/>
          </w:tcPr>
          <w:p w:rsidR="0055342B" w:rsidRPr="00C84E5E" w:rsidRDefault="0055342B" w:rsidP="00CF257B">
            <w:pPr>
              <w:jc w:val="right"/>
              <w:rPr>
                <w:b/>
              </w:rPr>
            </w:pPr>
            <w:r w:rsidRPr="00C84E5E">
              <w:rPr>
                <w:b/>
              </w:rPr>
              <w:t>14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0.6</w:t>
            </w:r>
          </w:p>
        </w:tc>
        <w:tc>
          <w:tcPr>
            <w:tcW w:w="607" w:type="dxa"/>
            <w:shd w:val="clear" w:color="auto" w:fill="FF6699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0.8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0.1</w:t>
            </w:r>
          </w:p>
        </w:tc>
        <w:tc>
          <w:tcPr>
            <w:tcW w:w="55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0.2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0.3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0.4</w:t>
            </w:r>
          </w:p>
        </w:tc>
        <w:tc>
          <w:tcPr>
            <w:tcW w:w="520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0.5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0.7</w:t>
            </w:r>
          </w:p>
        </w:tc>
        <w:tc>
          <w:tcPr>
            <w:tcW w:w="607" w:type="dxa"/>
            <w:shd w:val="clear" w:color="auto" w:fill="00B0F0"/>
            <w:noWrap/>
            <w:hideMark/>
          </w:tcPr>
          <w:p w:rsidR="0055342B" w:rsidRPr="004A5197" w:rsidRDefault="0055342B" w:rsidP="00A668E9">
            <w:pPr>
              <w:jc w:val="right"/>
            </w:pPr>
            <w:r w:rsidRPr="004A5197">
              <w:t>1.0</w:t>
            </w:r>
          </w:p>
        </w:tc>
      </w:tr>
    </w:tbl>
    <w:p w:rsidR="005822D5" w:rsidRDefault="005822D5"/>
    <w:p w:rsidR="005822D5" w:rsidRDefault="005822D5"/>
    <w:sectPr w:rsidR="005822D5" w:rsidSect="006A3B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A5197"/>
    <w:rsid w:val="00431460"/>
    <w:rsid w:val="00436C67"/>
    <w:rsid w:val="004A5197"/>
    <w:rsid w:val="0055342B"/>
    <w:rsid w:val="005822D5"/>
    <w:rsid w:val="005E125A"/>
    <w:rsid w:val="006A3BDE"/>
    <w:rsid w:val="008B1C53"/>
    <w:rsid w:val="00932185"/>
    <w:rsid w:val="00A36F1F"/>
    <w:rsid w:val="00A668E9"/>
    <w:rsid w:val="00B21985"/>
    <w:rsid w:val="00C84E5E"/>
    <w:rsid w:val="00CD381C"/>
    <w:rsid w:val="00CF257B"/>
    <w:rsid w:val="00F220BF"/>
    <w:rsid w:val="00F3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19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David</cp:lastModifiedBy>
  <cp:revision>2</cp:revision>
  <dcterms:created xsi:type="dcterms:W3CDTF">2012-07-24T09:37:00Z</dcterms:created>
  <dcterms:modified xsi:type="dcterms:W3CDTF">2012-07-24T09:37:00Z</dcterms:modified>
</cp:coreProperties>
</file>